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24" w:rsidRPr="004B3024" w:rsidRDefault="004F7DBF" w:rsidP="004B3024">
      <w:pPr>
        <w:widowControl/>
        <w:spacing w:line="360" w:lineRule="exact"/>
        <w:jc w:val="center"/>
        <w:outlineLvl w:val="1"/>
        <w:rPr>
          <w:rFonts w:ascii="微軟正黑體" w:eastAsia="微軟正黑體" w:hAnsi="微軟正黑體" w:cs="新細明體"/>
          <w:color w:val="FF2A61"/>
          <w:kern w:val="0"/>
          <w:sz w:val="35"/>
          <w:szCs w:val="35"/>
        </w:rPr>
      </w:pPr>
      <w:bookmarkStart w:id="0" w:name="_GoBack"/>
      <w:bookmarkEnd w:id="0"/>
      <w:r>
        <w:rPr>
          <w:rFonts w:ascii="微軟正黑體" w:eastAsia="微軟正黑體" w:hAnsi="微軟正黑體" w:cs="新細明體"/>
          <w:noProof/>
          <w:color w:val="FF8726"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866775</wp:posOffset>
            </wp:positionV>
            <wp:extent cx="6285230" cy="3535045"/>
            <wp:effectExtent l="0" t="0" r="1270" b="8255"/>
            <wp:wrapTopAndBottom/>
            <wp:docPr id="1" name="圖片 1" descr="http://www.youthrights.org.tw/sites/youthrights.org.tw/files/styles/width660/public/news/image/%E5%BE%B5%E7%A8%BF%E9%80%9A%E7%9F%A5.001.jpeg?itok=BkY05U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youthrights.org.tw/sites/youthrights.org.tw/files/styles/width660/public/news/image/%E5%BE%B5%E7%A8%BF%E9%80%9A%E7%9F%A5.001.jpeg?itok=BkY05U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53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024" w:rsidRPr="004B3024">
        <w:rPr>
          <w:rFonts w:ascii="微軟正黑體" w:eastAsia="微軟正黑體" w:hAnsi="微軟正黑體" w:cs="新細明體" w:hint="eastAsia"/>
          <w:b/>
          <w:bCs/>
          <w:color w:val="FF2A61"/>
          <w:kern w:val="0"/>
          <w:sz w:val="35"/>
          <w:szCs w:val="35"/>
        </w:rPr>
        <w:t>2017第二屆聯合國兒童權利公約</w:t>
      </w:r>
      <w:r w:rsidR="004B3024" w:rsidRPr="004B3024">
        <w:rPr>
          <w:rFonts w:ascii="微軟正黑體" w:eastAsia="微軟正黑體" w:hAnsi="微軟正黑體" w:cs="新細明體" w:hint="eastAsia"/>
          <w:b/>
          <w:bCs/>
          <w:color w:val="FF2A61"/>
          <w:kern w:val="0"/>
          <w:sz w:val="35"/>
          <w:szCs w:val="35"/>
        </w:rPr>
        <w:br/>
        <w:t>「十八</w:t>
      </w:r>
      <w:proofErr w:type="gramStart"/>
      <w:r w:rsidR="004B3024" w:rsidRPr="004B3024">
        <w:rPr>
          <w:rFonts w:ascii="微軟正黑體" w:eastAsia="微軟正黑體" w:hAnsi="微軟正黑體" w:cs="新細明體" w:hint="eastAsia"/>
          <w:b/>
          <w:bCs/>
          <w:color w:val="FF2A61"/>
          <w:kern w:val="0"/>
          <w:sz w:val="35"/>
          <w:szCs w:val="35"/>
        </w:rPr>
        <w:t>ㄊㄨㄥˊ</w:t>
      </w:r>
      <w:proofErr w:type="gramEnd"/>
      <w:r w:rsidR="004B3024" w:rsidRPr="004B3024">
        <w:rPr>
          <w:rFonts w:ascii="微軟正黑體" w:eastAsia="微軟正黑體" w:hAnsi="微軟正黑體" w:cs="新細明體" w:hint="eastAsia"/>
          <w:b/>
          <w:bCs/>
          <w:color w:val="FF2A61"/>
          <w:kern w:val="0"/>
          <w:sz w:val="35"/>
          <w:szCs w:val="35"/>
        </w:rPr>
        <w:t>人轉大人高峰會」引言徵文獎勵辦法</w:t>
      </w:r>
    </w:p>
    <w:p w:rsidR="004F7DBF" w:rsidRDefault="004F7DBF" w:rsidP="004B3024">
      <w:pPr>
        <w:widowControl/>
        <w:spacing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</w:p>
    <w:p w:rsidR="004F7DBF" w:rsidRDefault="004F7DBF" w:rsidP="004B3024">
      <w:pPr>
        <w:widowControl/>
        <w:spacing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</w:p>
    <w:p w:rsidR="004B3024" w:rsidRPr="004B3024" w:rsidRDefault="004B3024" w:rsidP="004B3024">
      <w:pPr>
        <w:widowControl/>
        <w:spacing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在這個變動的社會，台灣12~24歲的青少年轉大人的需求是什麼？遇到哪些困境或阻礙？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台少盟舉辦第二屆轉大人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高峰會站在聯合國青年發展議題及《兒童權利公約》的基礎上，為青少年建構一個發聲平台，和NGO、政府部門及相關利害關係人，共同來解決這些困境，力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挺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台灣順利轉大人！</w:t>
      </w:r>
      <w:hyperlink r:id="rId8" w:history="1">
        <w:r w:rsidRPr="004B3024">
          <w:rPr>
            <w:rFonts w:ascii="微軟正黑體" w:eastAsia="微軟正黑體" w:hAnsi="微軟正黑體" w:cs="新細明體" w:hint="eastAsia"/>
            <w:color w:val="FF2A61"/>
            <w:kern w:val="0"/>
            <w:szCs w:val="24"/>
            <w:u w:val="single"/>
          </w:rPr>
          <w:t>活動詳情點我看這裡！！</w:t>
        </w:r>
      </w:hyperlink>
    </w:p>
    <w:p w:rsidR="004B3024" w:rsidRPr="004B3024" w:rsidRDefault="004B3024" w:rsidP="004B3024">
      <w:pPr>
        <w:widowControl/>
        <w:spacing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CRC第20號一般性意見書（2016）強調，即使CRC載明所有未滿18歲兒童的權利都應受到保障。但兒童權利委員會發現，因為締約國不承認青少年享有權利，或鮮少投資相關措施，導致青少年的潛能經常無法全面發展，或受到破壞。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本屆轉大人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高峰會歡迎青少年及長期關注青少年的你，針對六大轉大人卡卡，聊聊你的觀點、看法，並針對相關政策提出具體建議，或是修法方向提供洞見！</w:t>
      </w:r>
    </w:p>
    <w:p w:rsidR="004B3024" w:rsidRPr="004B3024" w:rsidRDefault="004B3024" w:rsidP="004B3024">
      <w:pPr>
        <w:widowControl/>
        <w:spacing w:line="360" w:lineRule="exact"/>
        <w:jc w:val="center"/>
        <w:outlineLvl w:val="2"/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</w:pPr>
    </w:p>
    <w:p w:rsidR="004B3024" w:rsidRPr="004B3024" w:rsidRDefault="004B3024" w:rsidP="004B3024">
      <w:pPr>
        <w:widowControl/>
        <w:spacing w:line="360" w:lineRule="exact"/>
        <w:jc w:val="both"/>
        <w:outlineLvl w:val="2"/>
        <w:rPr>
          <w:rFonts w:ascii="微軟正黑體" w:eastAsia="微軟正黑體" w:hAnsi="微軟正黑體" w:cs="新細明體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kern w:val="0"/>
          <w:sz w:val="30"/>
          <w:szCs w:val="30"/>
        </w:rPr>
        <w:t>誰適合來投稿？</w:t>
      </w:r>
    </w:p>
    <w:p w:rsidR="004B3024" w:rsidRPr="004B3024" w:rsidRDefault="004B3024" w:rsidP="004B3024">
      <w:pPr>
        <w:widowControl/>
        <w:numPr>
          <w:ilvl w:val="0"/>
          <w:numId w:val="1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12~24歲，具相關經驗的青少年，歡迎來到許願池。</w:t>
      </w:r>
    </w:p>
    <w:p w:rsidR="004B3024" w:rsidRPr="004B3024" w:rsidRDefault="004B3024" w:rsidP="004B3024">
      <w:pPr>
        <w:widowControl/>
        <w:numPr>
          <w:ilvl w:val="0"/>
          <w:numId w:val="1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關注該議題或服務青少年的一線工作者或議題倡導者，這麼做才有效。</w:t>
      </w:r>
    </w:p>
    <w:p w:rsidR="004B3024" w:rsidRPr="004B3024" w:rsidRDefault="004B3024" w:rsidP="004B3024">
      <w:pPr>
        <w:widowControl/>
        <w:numPr>
          <w:ilvl w:val="0"/>
          <w:numId w:val="1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主管機關相關業務承辦人，心酸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障礙說給你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聽。</w:t>
      </w:r>
    </w:p>
    <w:p w:rsidR="004B3024" w:rsidRPr="004B3024" w:rsidRDefault="004B3024" w:rsidP="004B3024">
      <w:pPr>
        <w:widowControl/>
        <w:numPr>
          <w:ilvl w:val="0"/>
          <w:numId w:val="1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主辦單位彙整各議題相關之參考資料，請見</w:t>
      </w:r>
      <w:hyperlink r:id="rId9" w:tgtFrame="_blank" w:history="1">
        <w:proofErr w:type="gramStart"/>
        <w:r w:rsidRPr="004B3024">
          <w:rPr>
            <w:rFonts w:ascii="微軟正黑體" w:eastAsia="微軟正黑體" w:hAnsi="微軟正黑體" w:cs="新細明體" w:hint="eastAsia"/>
            <w:color w:val="FF2A61"/>
            <w:kern w:val="0"/>
            <w:szCs w:val="24"/>
            <w:u w:val="single"/>
          </w:rPr>
          <w:t>線上資訊</w:t>
        </w:r>
        <w:proofErr w:type="gramEnd"/>
        <w:r w:rsidRPr="004B3024">
          <w:rPr>
            <w:rFonts w:ascii="微軟正黑體" w:eastAsia="微軟正黑體" w:hAnsi="微軟正黑體" w:cs="新細明體" w:hint="eastAsia"/>
            <w:color w:val="FF2A61"/>
            <w:kern w:val="0"/>
            <w:szCs w:val="24"/>
            <w:u w:val="single"/>
          </w:rPr>
          <w:t>庫</w:t>
        </w:r>
      </w:hyperlink>
    </w:p>
    <w:p w:rsidR="004B3024" w:rsidRPr="004B3024" w:rsidRDefault="004B3024" w:rsidP="004B3024">
      <w:pPr>
        <w:widowControl/>
        <w:spacing w:line="360" w:lineRule="exact"/>
        <w:jc w:val="both"/>
        <w:outlineLvl w:val="2"/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color w:val="FF8726"/>
          <w:kern w:val="0"/>
          <w:sz w:val="30"/>
          <w:szCs w:val="30"/>
        </w:rPr>
        <w:t> </w:t>
      </w:r>
    </w:p>
    <w:p w:rsidR="004B3024" w:rsidRPr="004B3024" w:rsidRDefault="004B3024" w:rsidP="004B3024">
      <w:pPr>
        <w:widowControl/>
        <w:spacing w:line="360" w:lineRule="exact"/>
        <w:jc w:val="both"/>
        <w:outlineLvl w:val="2"/>
        <w:rPr>
          <w:rFonts w:ascii="微軟正黑體" w:eastAsia="微軟正黑體" w:hAnsi="微軟正黑體" w:cs="新細明體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kern w:val="0"/>
          <w:sz w:val="30"/>
          <w:szCs w:val="30"/>
        </w:rPr>
        <w:lastRenderedPageBreak/>
        <w:t>投</w:t>
      </w:r>
      <w:r w:rsidR="004F7DBF" w:rsidRPr="004B3024">
        <w:rPr>
          <w:rFonts w:ascii="微軟正黑體" w:eastAsia="微軟正黑體" w:hAnsi="微軟正黑體" w:cs="新細明體" w:hint="eastAsia"/>
          <w:kern w:val="0"/>
          <w:sz w:val="30"/>
          <w:szCs w:val="30"/>
        </w:rPr>
        <w:t>稿</w:t>
      </w:r>
      <w:r w:rsidRPr="004B3024">
        <w:rPr>
          <w:rFonts w:ascii="微軟正黑體" w:eastAsia="微軟正黑體" w:hAnsi="微軟正黑體" w:cs="新細明體" w:hint="eastAsia"/>
          <w:kern w:val="0"/>
          <w:sz w:val="30"/>
          <w:szCs w:val="30"/>
        </w:rPr>
        <w:t>形式</w:t>
      </w:r>
    </w:p>
    <w:p w:rsidR="004B3024" w:rsidRPr="004B3024" w:rsidRDefault="004B3024" w:rsidP="004B3024">
      <w:pPr>
        <w:widowControl/>
        <w:numPr>
          <w:ilvl w:val="0"/>
          <w:numId w:val="2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格式不限，漫畫、圖文、短片、文字皆可。</w:t>
      </w:r>
    </w:p>
    <w:p w:rsidR="004B3024" w:rsidRPr="004B3024" w:rsidRDefault="004B3024" w:rsidP="004B3024">
      <w:pPr>
        <w:widowControl/>
        <w:numPr>
          <w:ilvl w:val="0"/>
          <w:numId w:val="2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文字稿約1500~2000字，其他形式請檢附500字以內之文字說明。</w:t>
      </w:r>
    </w:p>
    <w:p w:rsidR="004B3024" w:rsidRPr="004B3024" w:rsidRDefault="004B3024" w:rsidP="004B3024">
      <w:pPr>
        <w:widowControl/>
        <w:numPr>
          <w:ilvl w:val="0"/>
          <w:numId w:val="2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請填寫</w:t>
      </w:r>
      <w:hyperlink r:id="rId10" w:tgtFrame="_blank" w:history="1">
        <w:r w:rsidRPr="004B3024">
          <w:rPr>
            <w:rFonts w:ascii="微軟正黑體" w:eastAsia="微軟正黑體" w:hAnsi="微軟正黑體" w:cs="新細明體" w:hint="eastAsia"/>
            <w:color w:val="FF2A61"/>
            <w:kern w:val="0"/>
            <w:szCs w:val="24"/>
            <w:u w:val="single"/>
          </w:rPr>
          <w:t>相關表單後</w:t>
        </w:r>
      </w:hyperlink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，並將投稿稿件在2017年8月13日前上傳至 </w:t>
      </w:r>
      <w:hyperlink r:id="rId11" w:tgtFrame="_blank" w:history="1">
        <w:r w:rsidRPr="004B3024">
          <w:rPr>
            <w:rFonts w:ascii="微軟正黑體" w:eastAsia="微軟正黑體" w:hAnsi="微軟正黑體" w:cs="新細明體" w:hint="eastAsia"/>
            <w:color w:val="FF2A61"/>
            <w:kern w:val="0"/>
            <w:szCs w:val="24"/>
            <w:u w:val="single"/>
          </w:rPr>
          <w:t>https://goo.gl/9LKtYj</w:t>
        </w:r>
      </w:hyperlink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轉大人高峰會投稿專區即可。</w:t>
      </w:r>
    </w:p>
    <w:p w:rsidR="004B3024" w:rsidRPr="004B3024" w:rsidRDefault="004B3024" w:rsidP="004B3024">
      <w:pPr>
        <w:widowControl/>
        <w:numPr>
          <w:ilvl w:val="0"/>
          <w:numId w:val="2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有任何疑問，請來信 </w:t>
      </w:r>
      <w:hyperlink r:id="rId12" w:history="1">
        <w:r w:rsidRPr="004B3024">
          <w:rPr>
            <w:rFonts w:ascii="微軟正黑體" w:eastAsia="微軟正黑體" w:hAnsi="微軟正黑體" w:cs="新細明體" w:hint="eastAsia"/>
            <w:color w:val="FF2A61"/>
            <w:kern w:val="0"/>
            <w:szCs w:val="24"/>
            <w:u w:val="single"/>
          </w:rPr>
          <w:t>Awu@youthrights.org.tw</w:t>
        </w:r>
      </w:hyperlink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 詢問。</w:t>
      </w:r>
    </w:p>
    <w:p w:rsidR="004B3024" w:rsidRPr="004B3024" w:rsidRDefault="004B3024" w:rsidP="004B3024">
      <w:pPr>
        <w:widowControl/>
        <w:spacing w:line="360" w:lineRule="exact"/>
        <w:jc w:val="both"/>
        <w:outlineLvl w:val="2"/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color w:val="FF8726"/>
          <w:kern w:val="0"/>
          <w:sz w:val="30"/>
          <w:szCs w:val="30"/>
        </w:rPr>
        <w:t> </w:t>
      </w:r>
    </w:p>
    <w:p w:rsidR="004B3024" w:rsidRPr="004B3024" w:rsidRDefault="004B3024" w:rsidP="004B3024">
      <w:pPr>
        <w:widowControl/>
        <w:spacing w:line="360" w:lineRule="exact"/>
        <w:jc w:val="both"/>
        <w:outlineLvl w:val="2"/>
        <w:rPr>
          <w:rFonts w:ascii="微軟正黑體" w:eastAsia="微軟正黑體" w:hAnsi="微軟正黑體" w:cs="新細明體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kern w:val="0"/>
          <w:sz w:val="30"/>
          <w:szCs w:val="30"/>
        </w:rPr>
        <w:t>有什麼獎勵？</w:t>
      </w:r>
    </w:p>
    <w:p w:rsidR="004B3024" w:rsidRPr="004B3024" w:rsidRDefault="004B3024" w:rsidP="004B3024">
      <w:pPr>
        <w:widowControl/>
        <w:spacing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所有的稿件，經審查委員會審議後，將視來稿內容的多元性、完整性、邏輯性，依主題挑選數篇給予下述獎勵：</w:t>
      </w:r>
    </w:p>
    <w:p w:rsidR="004B3024" w:rsidRPr="004B3024" w:rsidRDefault="004B3024" w:rsidP="004B3024">
      <w:pPr>
        <w:widowControl/>
        <w:numPr>
          <w:ilvl w:val="0"/>
          <w:numId w:val="3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入選：</w:t>
      </w:r>
    </w:p>
    <w:p w:rsidR="004B3024" w:rsidRPr="004B3024" w:rsidRDefault="004B3024" w:rsidP="004B3024">
      <w:pPr>
        <w:widowControl/>
        <w:numPr>
          <w:ilvl w:val="1"/>
          <w:numId w:val="3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刊登於「十八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ㄊㄨㄥˊ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人轉大人高峰會」論文集，給予稿費1000元及證明。</w:t>
      </w:r>
    </w:p>
    <w:p w:rsidR="004B3024" w:rsidRPr="004B3024" w:rsidRDefault="004B3024" w:rsidP="004B3024">
      <w:pPr>
        <w:widowControl/>
        <w:numPr>
          <w:ilvl w:val="1"/>
          <w:numId w:val="3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邀請參與轉大人高峰會，臺北市、新北市以外縣市參與者，酌予補助交通費用（實報實銷，以高鐵＋自強號為上限，請保留乘車憑證）；兩天全程參與者，再酌予補助住宿費用500元。</w:t>
      </w:r>
    </w:p>
    <w:p w:rsidR="004B3024" w:rsidRPr="004B3024" w:rsidRDefault="004B3024" w:rsidP="004B3024">
      <w:pPr>
        <w:widowControl/>
        <w:numPr>
          <w:ilvl w:val="0"/>
          <w:numId w:val="3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發表：</w:t>
      </w:r>
    </w:p>
    <w:p w:rsidR="004B3024" w:rsidRPr="004B3024" w:rsidRDefault="004B3024" w:rsidP="004B3024">
      <w:pPr>
        <w:widowControl/>
        <w:numPr>
          <w:ilvl w:val="1"/>
          <w:numId w:val="3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刊登於「十八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ㄊㄨㄥˊ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人轉大人高峰會」論文集，並邀請參與該議題場次口頭發表，給予稿費與發表費用2000元及發表證明。</w:t>
      </w:r>
    </w:p>
    <w:p w:rsidR="004B3024" w:rsidRPr="004B3024" w:rsidRDefault="004B3024" w:rsidP="004B3024">
      <w:pPr>
        <w:widowControl/>
        <w:numPr>
          <w:ilvl w:val="1"/>
          <w:numId w:val="3"/>
        </w:numPr>
        <w:spacing w:before="100" w:beforeAutospacing="1" w:line="360" w:lineRule="exact"/>
        <w:jc w:val="both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臺北市、新北市以外縣市參與者，補助交通費用（實報實銷，來回以高鐵為上限，請保留乘車憑證）；兩天全程參與者，再酌予補助住宿費用500元。</w:t>
      </w:r>
    </w:p>
    <w:p w:rsidR="004B3024" w:rsidRPr="004B3024" w:rsidRDefault="004B3024" w:rsidP="004B3024">
      <w:pPr>
        <w:widowControl/>
        <w:spacing w:line="360" w:lineRule="exact"/>
        <w:outlineLvl w:val="2"/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color w:val="FF8726"/>
          <w:kern w:val="0"/>
          <w:sz w:val="30"/>
          <w:szCs w:val="30"/>
        </w:rPr>
        <w:t> </w:t>
      </w:r>
    </w:p>
    <w:p w:rsidR="004B3024" w:rsidRPr="004B3024" w:rsidRDefault="004B3024" w:rsidP="004B3024">
      <w:pPr>
        <w:widowControl/>
        <w:spacing w:line="360" w:lineRule="exact"/>
        <w:outlineLvl w:val="2"/>
        <w:rPr>
          <w:rFonts w:ascii="微軟正黑體" w:eastAsia="微軟正黑體" w:hAnsi="微軟正黑體" w:cs="新細明體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kern w:val="0"/>
          <w:sz w:val="30"/>
          <w:szCs w:val="30"/>
        </w:rPr>
        <w:t>怎麼投稿？稿件可以包含哪些內容呢？？</w:t>
      </w:r>
    </w:p>
    <w:p w:rsidR="004B3024" w:rsidRPr="004B3024" w:rsidRDefault="004B3024" w:rsidP="004B3024">
      <w:pPr>
        <w:widowControl/>
        <w:spacing w:before="100" w:beforeAutospacing="1" w:line="360" w:lineRule="exact"/>
        <w:ind w:left="720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請根據其中一個轉大人卡卡的議題，所盤點出來的討論問題方向，</w:t>
      </w:r>
    </w:p>
    <w:p w:rsidR="004B3024" w:rsidRPr="004B3024" w:rsidRDefault="004B3024" w:rsidP="004B3024">
      <w:pPr>
        <w:widowControl/>
        <w:numPr>
          <w:ilvl w:val="1"/>
          <w:numId w:val="4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根據你的經驗，分享台灣青少年的實際處境。</w:t>
      </w:r>
    </w:p>
    <w:p w:rsidR="004B3024" w:rsidRPr="004B3024" w:rsidRDefault="004B3024" w:rsidP="004B3024">
      <w:pPr>
        <w:widowControl/>
        <w:numPr>
          <w:ilvl w:val="1"/>
          <w:numId w:val="4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每</w:t>
      </w:r>
      <w:proofErr w:type="gramStart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個</w:t>
      </w:r>
      <w:proofErr w:type="gramEnd"/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主題不需要回應所有的子議題，若對多個主題都有想法，請分別投稿。</w:t>
      </w:r>
    </w:p>
    <w:p w:rsidR="004B3024" w:rsidRPr="004B3024" w:rsidRDefault="004B3024" w:rsidP="004B3024">
      <w:pPr>
        <w:widowControl/>
        <w:numPr>
          <w:ilvl w:val="1"/>
          <w:numId w:val="4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參照相關的兒童權利公約的條文，談談你覺得和國際人權標準上，落差在哪裡？</w:t>
      </w:r>
    </w:p>
    <w:p w:rsidR="004B3024" w:rsidRPr="004B3024" w:rsidRDefault="004B3024" w:rsidP="004B3024">
      <w:pPr>
        <w:widowControl/>
        <w:numPr>
          <w:ilvl w:val="1"/>
          <w:numId w:val="4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為什麼會造成這些落差？是相關法令訂得不夠嚴謹？</w:t>
      </w:r>
    </w:p>
    <w:p w:rsidR="004B3024" w:rsidRPr="004B3024" w:rsidRDefault="004B3024" w:rsidP="004B3024">
      <w:pPr>
        <w:widowControl/>
        <w:numPr>
          <w:ilvl w:val="1"/>
          <w:numId w:val="4"/>
        </w:numPr>
        <w:spacing w:before="100" w:beforeAutospacing="1" w:line="360" w:lineRule="exac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或者是落實的問題？還是誰根本不夠重視？</w:t>
      </w:r>
    </w:p>
    <w:p w:rsidR="004B3024" w:rsidRPr="004F7DBF" w:rsidRDefault="004B3024" w:rsidP="004B3024">
      <w:pPr>
        <w:widowControl/>
        <w:numPr>
          <w:ilvl w:val="1"/>
          <w:numId w:val="4"/>
        </w:numPr>
        <w:spacing w:before="100" w:beforeAutospacing="1" w:line="360" w:lineRule="exact"/>
        <w:jc w:val="both"/>
        <w:outlineLvl w:val="2"/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color w:val="333333"/>
          <w:kern w:val="0"/>
          <w:szCs w:val="24"/>
        </w:rPr>
        <w:t>你覺得有效的解決方法會是什麼？什麼才是青少年真正需要的？</w:t>
      </w:r>
      <w:r w:rsidRPr="004B3024">
        <w:rPr>
          <w:rFonts w:ascii="微軟正黑體" w:eastAsia="微軟正黑體" w:hAnsi="微軟正黑體" w:cs="新細明體" w:hint="eastAsia"/>
          <w:color w:val="FF8726"/>
          <w:kern w:val="0"/>
          <w:sz w:val="30"/>
          <w:szCs w:val="30"/>
        </w:rPr>
        <w:t> </w:t>
      </w:r>
    </w:p>
    <w:p w:rsidR="004B3024" w:rsidRDefault="004B3024">
      <w:pPr>
        <w:widowControl/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  <w:sectPr w:rsidR="004B3024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rFonts w:ascii="微軟正黑體" w:eastAsia="微軟正黑體" w:hAnsi="微軟正黑體" w:cs="新細明體"/>
          <w:color w:val="FF8726"/>
          <w:kern w:val="0"/>
          <w:sz w:val="30"/>
          <w:szCs w:val="30"/>
        </w:rPr>
        <w:br w:type="page"/>
      </w:r>
    </w:p>
    <w:p w:rsidR="004B3024" w:rsidRPr="004B3024" w:rsidRDefault="004B3024" w:rsidP="004B3024">
      <w:pPr>
        <w:widowControl/>
        <w:spacing w:line="360" w:lineRule="exact"/>
        <w:jc w:val="both"/>
        <w:outlineLvl w:val="2"/>
        <w:rPr>
          <w:rFonts w:ascii="微軟正黑體" w:eastAsia="微軟正黑體" w:hAnsi="微軟正黑體" w:cs="新細明體"/>
          <w:b/>
          <w:kern w:val="0"/>
          <w:sz w:val="30"/>
          <w:szCs w:val="30"/>
        </w:rPr>
      </w:pPr>
      <w:r w:rsidRPr="004B3024">
        <w:rPr>
          <w:rFonts w:ascii="微軟正黑體" w:eastAsia="微軟正黑體" w:hAnsi="微軟正黑體" w:cs="新細明體" w:hint="eastAsia"/>
          <w:b/>
          <w:kern w:val="0"/>
          <w:sz w:val="30"/>
          <w:szCs w:val="30"/>
        </w:rPr>
        <w:lastRenderedPageBreak/>
        <w:t>六大轉大人卡卡係蝦</w:t>
      </w:r>
      <w:proofErr w:type="gramStart"/>
      <w:r w:rsidRPr="004B3024">
        <w:rPr>
          <w:rFonts w:ascii="微軟正黑體" w:eastAsia="微軟正黑體" w:hAnsi="微軟正黑體" w:cs="新細明體" w:hint="eastAsia"/>
          <w:b/>
          <w:kern w:val="0"/>
          <w:sz w:val="30"/>
          <w:szCs w:val="30"/>
        </w:rPr>
        <w:t>咪</w:t>
      </w:r>
      <w:proofErr w:type="gramEnd"/>
      <w:r w:rsidRPr="004B3024">
        <w:rPr>
          <w:rFonts w:ascii="微軟正黑體" w:eastAsia="微軟正黑體" w:hAnsi="微軟正黑體" w:cs="新細明體" w:hint="eastAsia"/>
          <w:b/>
          <w:kern w:val="0"/>
          <w:sz w:val="30"/>
          <w:szCs w:val="30"/>
        </w:rPr>
        <w:t>？？</w:t>
      </w:r>
    </w:p>
    <w:tbl>
      <w:tblPr>
        <w:tblW w:w="5000" w:type="pct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5"/>
        <w:gridCol w:w="4341"/>
        <w:gridCol w:w="4033"/>
        <w:gridCol w:w="3389"/>
      </w:tblGrid>
      <w:tr w:rsidR="004B3024" w:rsidRPr="004B3024" w:rsidTr="004B3024"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BFBFBF" w:themeFill="background1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4B3024" w:rsidRPr="004B3024" w:rsidRDefault="004B3024" w:rsidP="004B302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B3024">
              <w:rPr>
                <w:rFonts w:ascii="微軟正黑體" w:eastAsia="微軟正黑體" w:hAnsi="微軟正黑體" w:hint="eastAsia"/>
                <w:b/>
              </w:rPr>
              <w:t>【主題】轉大人卡卡</w:t>
            </w:r>
            <w:proofErr w:type="gramStart"/>
            <w:r w:rsidRPr="004B3024">
              <w:rPr>
                <w:rFonts w:ascii="微軟正黑體" w:eastAsia="微軟正黑體" w:hAnsi="微軟正黑體" w:hint="eastAsia"/>
                <w:b/>
              </w:rPr>
              <w:t>卡</w:t>
            </w:r>
            <w:proofErr w:type="gramEnd"/>
            <w:r w:rsidRPr="004B3024">
              <w:rPr>
                <w:rFonts w:ascii="微軟正黑體" w:eastAsia="微軟正黑體" w:hAnsi="微軟正黑體" w:hint="eastAsia"/>
                <w:b/>
              </w:rPr>
              <w:t>？？？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BFBFBF" w:themeFill="background1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4B3024" w:rsidRPr="004B3024" w:rsidRDefault="004B3024" w:rsidP="004B302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B3024">
              <w:rPr>
                <w:rFonts w:ascii="微軟正黑體" w:eastAsia="微軟正黑體" w:hAnsi="微軟正黑體" w:hint="eastAsia"/>
                <w:b/>
              </w:rPr>
              <w:t>我們需要一手經驗的你，有下述的權利需求的你，來對於這些議題表達想法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BFBFBF" w:themeFill="background1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4B3024" w:rsidRPr="004B3024" w:rsidRDefault="004B3024" w:rsidP="004B302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B3024">
              <w:rPr>
                <w:rFonts w:ascii="微軟正黑體" w:eastAsia="微軟正黑體" w:hAnsi="微軟正黑體" w:hint="eastAsia"/>
                <w:b/>
              </w:rPr>
              <w:t>兒童權利公約及聯合國相關的人權觀點是.....</w:t>
            </w:r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BFBFBF" w:themeFill="background1" w:themeFillShade="B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4B3024" w:rsidRPr="004B3024" w:rsidRDefault="004B3024" w:rsidP="004B302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4B3024">
              <w:rPr>
                <w:rFonts w:ascii="微軟正黑體" w:eastAsia="微軟正黑體" w:hAnsi="微軟正黑體" w:hint="eastAsia"/>
                <w:b/>
              </w:rPr>
              <w:t>國內相關的法令政策或相關說明回應</w:t>
            </w:r>
          </w:p>
        </w:tc>
      </w:tr>
      <w:tr w:rsidR="004B3024" w:rsidRPr="004B3024" w:rsidTr="004B3024"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F2F2F2" w:themeFill="background1" w:themeFillShade="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spacing w:before="225" w:line="32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你累了嗎？你快樂嗎？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忍</w:t>
            </w:r>
            <w:proofErr w:type="gramEnd"/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一下，我都是為你好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第八節、第九節、第十節、晚自習、寒暑期輔導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借課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（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不會還的那種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教學正常化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休息、休閒、遊戲的權利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遊戲一定得有教育功能嗎？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CRC第31條</w:t>
            </w:r>
          </w:p>
          <w:p w:rsidR="004B3024" w:rsidRPr="004B3024" w:rsidRDefault="004B3024" w:rsidP="00A10671">
            <w:pPr>
              <w:widowControl/>
              <w:numPr>
                <w:ilvl w:val="0"/>
                <w:numId w:val="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  <w:u w:val="single"/>
              </w:rPr>
              <w:t>CRC</w:t>
            </w:r>
            <w:hyperlink r:id="rId13" w:tgtFrame="_blank" w:history="1">
              <w:r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第17號一般性意見書</w:t>
              </w:r>
            </w:hyperlink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 </w:t>
            </w:r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  <w:u w:val="single"/>
              </w:rPr>
              <w:t>國民中小學教學正常化實施要點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14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教育部主管高級中等學校學生在校作息時間規劃注意事項(含總說明)</w:t>
              </w:r>
            </w:hyperlink>
          </w:p>
          <w:p w:rsidR="004B3024" w:rsidRPr="004B3024" w:rsidRDefault="001628B4" w:rsidP="004B3024">
            <w:pPr>
              <w:widowControl/>
              <w:numPr>
                <w:ilvl w:val="0"/>
                <w:numId w:val="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15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有關國中、高中的第八節課後輔導及寒暑假輔導說明   </w:t>
              </w:r>
            </w:hyperlink>
            <w:r w:rsidR="004B3024"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 </w:t>
            </w:r>
          </w:p>
        </w:tc>
      </w:tr>
      <w:tr w:rsidR="004B3024" w:rsidRPr="004B3024" w:rsidTr="004B3024"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F2F2F2" w:themeFill="background1" w:themeFillShade="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spacing w:before="225" w:line="32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只是剛開門，建立讓青少年表意的制度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直轄市及地方政府少年諮詢代表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校務會議學生代表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學生自治組織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服儀委員會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、生活作息等校務參與程序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（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如：公聽會、投票....）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課程審議機制學生代表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青少年受邀參與各級政府相關會議之經驗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9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CRC第12條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9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16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CRC第12號一般性建議「兒童表達意見的權利」</w:t>
              </w:r>
            </w:hyperlink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10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兒童及少年福利與權益保障法  第5、10、41條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0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高級中等教育法  第25、52-55條</w:t>
            </w:r>
          </w:p>
        </w:tc>
      </w:tr>
      <w:tr w:rsidR="004B3024" w:rsidRPr="004B3024" w:rsidTr="004B3024"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F2F2F2" w:themeFill="background1" w:themeFillShade="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spacing w:before="225" w:line="32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當少年在「天秤」和「生存」之間徘徊 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Default="004B3024" w:rsidP="00CF6435">
            <w:pPr>
              <w:widowControl/>
              <w:numPr>
                <w:ilvl w:val="0"/>
                <w:numId w:val="1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學校與各式教育/安置機構中失當的紀律執行</w:t>
            </w:r>
          </w:p>
          <w:p w:rsidR="004B3024" w:rsidRPr="004B3024" w:rsidRDefault="004B3024" w:rsidP="00CF6435">
            <w:pPr>
              <w:widowControl/>
              <w:numPr>
                <w:ilvl w:val="0"/>
                <w:numId w:val="1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體罰及各種暴力</w:t>
            </w:r>
          </w:p>
          <w:p w:rsidR="004B3024" w:rsidRPr="004B3024" w:rsidRDefault="004B3024" w:rsidP="001C195B">
            <w:pPr>
              <w:widowControl/>
              <w:numPr>
                <w:ilvl w:val="0"/>
                <w:numId w:val="1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在暴力從未消失的校園，聽學校防治霸凌</w:t>
            </w:r>
          </w:p>
          <w:p w:rsidR="004B3024" w:rsidRPr="004B3024" w:rsidRDefault="004B3024" w:rsidP="00B72E84">
            <w:pPr>
              <w:widowControl/>
              <w:numPr>
                <w:ilvl w:val="0"/>
                <w:numId w:val="1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觸法與被引誘觸法的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少年說給你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聽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台灣的少年司法體系，是以正向和身心重建為目標嗎？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安置、收容、矯正學校等司法轉向制度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13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CRC第37條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13"/>
              </w:numPr>
              <w:spacing w:before="225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17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第8號一般性建議「兒童受保護免遭體罰和其他殘忍或不人道形式懲罰的權利」</w:t>
              </w:r>
            </w:hyperlink>
          </w:p>
          <w:p w:rsidR="004B3024" w:rsidRPr="004B3024" w:rsidRDefault="001628B4" w:rsidP="004B3024">
            <w:pPr>
              <w:widowControl/>
              <w:numPr>
                <w:ilvl w:val="0"/>
                <w:numId w:val="13"/>
              </w:numPr>
              <w:spacing w:before="225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18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第13號一般性建議「兒童免遭一切形式暴力侵害的權利」</w:t>
              </w:r>
            </w:hyperlink>
            <w:r w:rsidR="004B3024"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 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4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CRC第40條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4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CRC第39條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14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19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第10號一般性建議「少年司法中的兒童權利」</w:t>
              </w:r>
            </w:hyperlink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1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Arial"/>
                <w:color w:val="545454"/>
                <w:kern w:val="0"/>
                <w:szCs w:val="24"/>
              </w:rPr>
              <w:t>《教育基本法》第8條及第15條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1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0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學校訂定教師輔導與管教學生辦法注意事項</w:t>
              </w:r>
            </w:hyperlink>
          </w:p>
          <w:p w:rsidR="004B3024" w:rsidRPr="004B3024" w:rsidRDefault="004B3024" w:rsidP="004B3024">
            <w:pPr>
              <w:widowControl/>
              <w:numPr>
                <w:ilvl w:val="0"/>
                <w:numId w:val="15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少年事件處理法</w:t>
            </w:r>
          </w:p>
        </w:tc>
      </w:tr>
      <w:tr w:rsidR="004B3024" w:rsidRPr="004B3024" w:rsidTr="004B3024"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F2F2F2" w:themeFill="background1" w:themeFillShade="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spacing w:before="225" w:line="32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文化/媒體/科技，作為一種積極參與的權利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1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青少年組織且主導的社會團體，需要哪些支持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與充權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青少年的文化平權與文化參與權利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媒體近用權利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兒少參與電視節目面面觀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從各式來源取得有用的資訊的權利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6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從「資訊科技使用」回應「網路成癮」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1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CRC第15條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1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1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聯合國集會結社權利的特別報告（摘青少年部分）</w:t>
              </w:r>
            </w:hyperlink>
          </w:p>
          <w:p w:rsidR="004B3024" w:rsidRPr="004B3024" w:rsidRDefault="004B3024" w:rsidP="004B3024">
            <w:pPr>
              <w:widowControl/>
              <w:numPr>
                <w:ilvl w:val="0"/>
                <w:numId w:val="1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CRC第31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1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2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第17號一般性建議「兒童休閒權」</w:t>
              </w:r>
            </w:hyperlink>
          </w:p>
          <w:p w:rsidR="004B3024" w:rsidRPr="004B3024" w:rsidRDefault="004B3024" w:rsidP="004B3024">
            <w:pPr>
              <w:widowControl/>
              <w:numPr>
                <w:ilvl w:val="0"/>
                <w:numId w:val="17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CRC第17條</w:t>
            </w:r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1628B4" w:rsidP="004B3024">
            <w:pPr>
              <w:widowControl/>
              <w:numPr>
                <w:ilvl w:val="0"/>
                <w:numId w:val="18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3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社會團體法（行政院草案）</w:t>
              </w:r>
            </w:hyperlink>
          </w:p>
        </w:tc>
      </w:tr>
      <w:tr w:rsidR="004B3024" w:rsidRPr="004B3024" w:rsidTr="004B3024"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F2F2F2" w:themeFill="background1" w:themeFillShade="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spacing w:before="225" w:line="32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愛的發聲練習</w:t>
            </w:r>
            <w:r w:rsidRPr="004B3024">
              <w:rPr>
                <w:rFonts w:ascii="微軟正黑體" w:eastAsia="微軟正黑體" w:hAnsi="微軟正黑體" w:cs="新細明體"/>
                <w:kern w:val="0"/>
                <w:szCs w:val="24"/>
              </w:rPr>
              <w:br/>
            </w:r>
            <w:proofErr w:type="gramStart"/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怕學壞</w:t>
            </w:r>
            <w:proofErr w:type="gramEnd"/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？長大以後就懂了？從性/性別/情感教育轉大人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19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lastRenderedPageBreak/>
              <w:t>你需要什麼樣的性教育、性別教育、情感教育？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9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lastRenderedPageBreak/>
              <w:t>什麼時候應該學？誰應該教？教什麼？怎麼教？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19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青少年眼中，除了課程的「教」之外，更重要的還有....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20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lastRenderedPageBreak/>
              <w:t>CRC第24條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0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CRC第20號一般性意見書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20"/>
              </w:numPr>
              <w:spacing w:before="225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4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第4號一般性建議「少年健康與發展」</w:t>
              </w:r>
            </w:hyperlink>
          </w:p>
          <w:p w:rsidR="004B3024" w:rsidRPr="004B3024" w:rsidRDefault="001628B4" w:rsidP="004B3024">
            <w:pPr>
              <w:widowControl/>
              <w:numPr>
                <w:ilvl w:val="0"/>
                <w:numId w:val="20"/>
              </w:numPr>
              <w:spacing w:before="225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5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第15號一般性建議「關於兒童享有可達到的最高標準健康的權利問題」</w:t>
              </w:r>
            </w:hyperlink>
          </w:p>
          <w:p w:rsidR="004B3024" w:rsidRPr="004B3024" w:rsidRDefault="001628B4" w:rsidP="004B3024">
            <w:pPr>
              <w:widowControl/>
              <w:numPr>
                <w:ilvl w:val="0"/>
                <w:numId w:val="20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6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歐盟人權委員會</w:t>
              </w:r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br/>
                <w:t>權利評論</w:t>
              </w:r>
            </w:hyperlink>
          </w:p>
          <w:p w:rsidR="004B3024" w:rsidRPr="004B3024" w:rsidRDefault="001628B4" w:rsidP="004B3024">
            <w:pPr>
              <w:widowControl/>
              <w:numPr>
                <w:ilvl w:val="0"/>
                <w:numId w:val="20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7" w:tgtFrame="_blank" w:history="1">
              <w:proofErr w:type="gramStart"/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經社文公約</w:t>
              </w:r>
              <w:proofErr w:type="gramEnd"/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第22號一般性意見書</w:t>
              </w:r>
            </w:hyperlink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21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lastRenderedPageBreak/>
              <w:t>性別平等教育法</w:t>
            </w:r>
          </w:p>
        </w:tc>
      </w:tr>
      <w:tr w:rsidR="004B3024" w:rsidRPr="004B3024" w:rsidTr="004B3024">
        <w:trPr>
          <w:trHeight w:val="3615"/>
        </w:trPr>
        <w:tc>
          <w:tcPr>
            <w:tcW w:w="960" w:type="pct"/>
            <w:tcBorders>
              <w:top w:val="outset" w:sz="6" w:space="0" w:color="AAAAAA"/>
              <w:left w:val="outset" w:sz="6" w:space="0" w:color="AAAAAA"/>
              <w:bottom w:val="single" w:sz="6" w:space="0" w:color="AAAAAA"/>
              <w:right w:val="outset" w:sz="6" w:space="0" w:color="AAAAAA"/>
            </w:tcBorders>
            <w:shd w:val="clear" w:color="auto" w:fill="F2F2F2" w:themeFill="background1" w:themeFillShade="F2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spacing w:before="225" w:line="32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lastRenderedPageBreak/>
              <w:t>青少年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真薪苦</w:t>
            </w:r>
            <w:proofErr w:type="gramEnd"/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t>！</w:t>
            </w:r>
            <w:r w:rsidRPr="004B3024">
              <w:rPr>
                <w:rFonts w:ascii="微軟正黑體" w:eastAsia="微軟正黑體" w:hAnsi="微軟正黑體" w:cs="新細明體"/>
                <w:b/>
                <w:bCs/>
                <w:kern w:val="0"/>
                <w:szCs w:val="24"/>
              </w:rPr>
              <w:br/>
              <w:t>青少年需要的「國家級就業行動計劃」</w:t>
            </w:r>
          </w:p>
        </w:tc>
        <w:tc>
          <w:tcPr>
            <w:tcW w:w="1491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未滿18歲的少年可以在深夜工作嗎？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未滿18歲的少年適合單獨工作嗎？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夜市/流動攤販（賣吃的）竟然不適用勞基法？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青少年 = 次等勞工？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你有這樣的經驗？未達基本工資、沒有勞健保、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苛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扣薪資、未依規定給加班費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我是老師，勞動教育這樣教！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青少年需要哪些職業相關訊息？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2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職</w:t>
            </w:r>
            <w:proofErr w:type="gramStart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涯</w:t>
            </w:r>
            <w:proofErr w:type="gramEnd"/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探索、勞動教育、就業力提升、尊嚴勞動與穩定就業</w:t>
            </w:r>
          </w:p>
        </w:tc>
        <w:tc>
          <w:tcPr>
            <w:tcW w:w="1385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23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CRC第28條</w:t>
            </w:r>
          </w:p>
          <w:p w:rsidR="004B3024" w:rsidRPr="004B3024" w:rsidRDefault="004B3024" w:rsidP="004B3024">
            <w:pPr>
              <w:widowControl/>
              <w:numPr>
                <w:ilvl w:val="0"/>
                <w:numId w:val="23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CRC第32條</w:t>
            </w:r>
          </w:p>
          <w:p w:rsidR="004B3024" w:rsidRPr="004B3024" w:rsidRDefault="001628B4" w:rsidP="004B3024">
            <w:pPr>
              <w:widowControl/>
              <w:numPr>
                <w:ilvl w:val="0"/>
                <w:numId w:val="23"/>
              </w:numPr>
              <w:spacing w:before="225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hyperlink r:id="rId28" w:tgtFrame="_blank" w:history="1">
              <w:r w:rsidR="004B3024"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第16號一般性建議「商業部門對兒童權利之影響與國家義務」</w:t>
              </w:r>
            </w:hyperlink>
          </w:p>
          <w:p w:rsidR="004B3024" w:rsidRPr="004B3024" w:rsidRDefault="004B3024" w:rsidP="004B3024">
            <w:pPr>
              <w:widowControl/>
              <w:numPr>
                <w:ilvl w:val="0"/>
                <w:numId w:val="23"/>
              </w:numPr>
              <w:spacing w:before="225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 </w:t>
            </w:r>
            <w:hyperlink r:id="rId29" w:tgtFrame="_blank" w:history="1">
              <w:r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ILO 第171號 夜間工作公約</w:t>
              </w:r>
              <w:r w:rsidRPr="004B3024">
                <w:rPr>
                  <w:rFonts w:ascii="MS Gothic" w:eastAsia="MS Gothic" w:hAnsi="MS Gothic" w:cs="MS Gothic" w:hint="eastAsia"/>
                  <w:color w:val="FF2A61"/>
                  <w:kern w:val="0"/>
                  <w:szCs w:val="24"/>
                  <w:u w:val="single"/>
                </w:rPr>
                <w:t>​</w:t>
              </w:r>
              <w:r w:rsidRPr="004B3024">
                <w:rPr>
                  <w:rFonts w:ascii="微軟正黑體" w:eastAsia="微軟正黑體" w:hAnsi="微軟正黑體" w:cs="新細明體"/>
                  <w:color w:val="FF2A61"/>
                  <w:kern w:val="0"/>
                  <w:szCs w:val="24"/>
                  <w:u w:val="single"/>
                </w:rPr>
                <w:t>（1990）</w:t>
              </w:r>
              <w:r w:rsidRPr="004B3024">
                <w:rPr>
                  <w:rFonts w:ascii="MS Gothic" w:eastAsia="MS Gothic" w:hAnsi="MS Gothic" w:cs="MS Gothic" w:hint="eastAsia"/>
                  <w:color w:val="FF2A61"/>
                  <w:kern w:val="0"/>
                  <w:szCs w:val="24"/>
                  <w:u w:val="single"/>
                </w:rPr>
                <w:t>​</w:t>
              </w:r>
            </w:hyperlink>
          </w:p>
        </w:tc>
        <w:tc>
          <w:tcPr>
            <w:tcW w:w="1164" w:type="pct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auto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4B3024" w:rsidRPr="004B3024" w:rsidRDefault="004B3024" w:rsidP="004B3024">
            <w:pPr>
              <w:widowControl/>
              <w:numPr>
                <w:ilvl w:val="0"/>
                <w:numId w:val="24"/>
              </w:numPr>
              <w:spacing w:before="100" w:beforeAutospacing="1" w:line="320" w:lineRule="exact"/>
              <w:ind w:leftChars="51" w:left="482"/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</w:pPr>
            <w:r w:rsidRPr="004B3024">
              <w:rPr>
                <w:rFonts w:ascii="微軟正黑體" w:eastAsia="微軟正黑體" w:hAnsi="微軟正黑體" w:cs="新細明體"/>
                <w:color w:val="737373"/>
                <w:kern w:val="0"/>
                <w:szCs w:val="24"/>
              </w:rPr>
              <w:t>勞動基準法</w:t>
            </w:r>
          </w:p>
        </w:tc>
      </w:tr>
    </w:tbl>
    <w:p w:rsidR="00C90B56" w:rsidRPr="004B3024" w:rsidRDefault="00C90B56" w:rsidP="004B3024">
      <w:pPr>
        <w:spacing w:line="360" w:lineRule="exact"/>
      </w:pPr>
    </w:p>
    <w:sectPr w:rsidR="00C90B56" w:rsidRPr="004B3024" w:rsidSect="004B3024">
      <w:pgSz w:w="16838" w:h="11906" w:orient="landscape"/>
      <w:pgMar w:top="993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4E3" w:rsidRDefault="004E14E3" w:rsidP="004B3024">
      <w:r>
        <w:separator/>
      </w:r>
    </w:p>
  </w:endnote>
  <w:endnote w:type="continuationSeparator" w:id="0">
    <w:p w:rsidR="004E14E3" w:rsidRDefault="004E14E3" w:rsidP="004B3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4E3" w:rsidRDefault="004E14E3" w:rsidP="004B3024">
      <w:r>
        <w:separator/>
      </w:r>
    </w:p>
  </w:footnote>
  <w:footnote w:type="continuationSeparator" w:id="0">
    <w:p w:rsidR="004E14E3" w:rsidRDefault="004E14E3" w:rsidP="004B3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BB8"/>
    <w:multiLevelType w:val="multilevel"/>
    <w:tmpl w:val="62B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74713"/>
    <w:multiLevelType w:val="multilevel"/>
    <w:tmpl w:val="D91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B7E78"/>
    <w:multiLevelType w:val="multilevel"/>
    <w:tmpl w:val="3456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31DAF"/>
    <w:multiLevelType w:val="multilevel"/>
    <w:tmpl w:val="D07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57832"/>
    <w:multiLevelType w:val="multilevel"/>
    <w:tmpl w:val="CD7A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924939"/>
    <w:multiLevelType w:val="multilevel"/>
    <w:tmpl w:val="B75A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2860E9"/>
    <w:multiLevelType w:val="multilevel"/>
    <w:tmpl w:val="0960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44473"/>
    <w:multiLevelType w:val="multilevel"/>
    <w:tmpl w:val="F9FA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B527F7"/>
    <w:multiLevelType w:val="multilevel"/>
    <w:tmpl w:val="F7FC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313D77"/>
    <w:multiLevelType w:val="multilevel"/>
    <w:tmpl w:val="7448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1191D"/>
    <w:multiLevelType w:val="multilevel"/>
    <w:tmpl w:val="3A1C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D70D5"/>
    <w:multiLevelType w:val="multilevel"/>
    <w:tmpl w:val="B448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C52E2"/>
    <w:multiLevelType w:val="multilevel"/>
    <w:tmpl w:val="D696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101C7C"/>
    <w:multiLevelType w:val="multilevel"/>
    <w:tmpl w:val="D8C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603ECA"/>
    <w:multiLevelType w:val="multilevel"/>
    <w:tmpl w:val="0D30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BE43D2"/>
    <w:multiLevelType w:val="multilevel"/>
    <w:tmpl w:val="44E2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E00C6A"/>
    <w:multiLevelType w:val="multilevel"/>
    <w:tmpl w:val="EAFA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704FE6"/>
    <w:multiLevelType w:val="multilevel"/>
    <w:tmpl w:val="D84C7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6A145E"/>
    <w:multiLevelType w:val="multilevel"/>
    <w:tmpl w:val="3F32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D539AF"/>
    <w:multiLevelType w:val="multilevel"/>
    <w:tmpl w:val="7B4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C058D2"/>
    <w:multiLevelType w:val="multilevel"/>
    <w:tmpl w:val="863E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845183"/>
    <w:multiLevelType w:val="multilevel"/>
    <w:tmpl w:val="9AAE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673907"/>
    <w:multiLevelType w:val="multilevel"/>
    <w:tmpl w:val="1294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8511E3"/>
    <w:multiLevelType w:val="multilevel"/>
    <w:tmpl w:val="CB5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7"/>
  </w:num>
  <w:num w:numId="5">
    <w:abstractNumId w:val="19"/>
  </w:num>
  <w:num w:numId="6">
    <w:abstractNumId w:val="14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22"/>
  </w:num>
  <w:num w:numId="18">
    <w:abstractNumId w:val="16"/>
  </w:num>
  <w:num w:numId="19">
    <w:abstractNumId w:val="17"/>
  </w:num>
  <w:num w:numId="20">
    <w:abstractNumId w:val="23"/>
  </w:num>
  <w:num w:numId="21">
    <w:abstractNumId w:val="21"/>
  </w:num>
  <w:num w:numId="22">
    <w:abstractNumId w:val="13"/>
  </w:num>
  <w:num w:numId="23">
    <w:abstractNumId w:val="1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20E4"/>
    <w:rsid w:val="001628B4"/>
    <w:rsid w:val="001F7F95"/>
    <w:rsid w:val="003A1194"/>
    <w:rsid w:val="004B3024"/>
    <w:rsid w:val="004E14E3"/>
    <w:rsid w:val="004F7DBF"/>
    <w:rsid w:val="006C63C2"/>
    <w:rsid w:val="00A10671"/>
    <w:rsid w:val="00A97B95"/>
    <w:rsid w:val="00C90B56"/>
    <w:rsid w:val="00C90D65"/>
    <w:rsid w:val="00D5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B4"/>
    <w:pPr>
      <w:widowControl w:val="0"/>
    </w:pPr>
  </w:style>
  <w:style w:type="paragraph" w:styleId="2">
    <w:name w:val="heading 2"/>
    <w:basedOn w:val="a"/>
    <w:link w:val="20"/>
    <w:uiPriority w:val="9"/>
    <w:qFormat/>
    <w:rsid w:val="004B302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302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0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02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B302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B302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4B3024"/>
    <w:rPr>
      <w:b/>
      <w:bCs/>
    </w:rPr>
  </w:style>
  <w:style w:type="paragraph" w:customStyle="1" w:styleId="rtejustify">
    <w:name w:val="rtejustify"/>
    <w:basedOn w:val="a"/>
    <w:rsid w:val="004B30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4B302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B30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30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B302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B302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30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3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302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B302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B302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4B3024"/>
    <w:rPr>
      <w:b/>
      <w:bCs/>
    </w:rPr>
  </w:style>
  <w:style w:type="paragraph" w:customStyle="1" w:styleId="rtejustify">
    <w:name w:val="rtejustify"/>
    <w:basedOn w:val="a"/>
    <w:rsid w:val="004B30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semiHidden/>
    <w:unhideWhenUsed/>
    <w:rsid w:val="004B302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B302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B3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8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3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hrights.org.tw/civicrm/event/info?reset=1&amp;id=47" TargetMode="External"/><Relationship Id="rId13" Type="http://schemas.openxmlformats.org/officeDocument/2006/relationships/hyperlink" Target="http://crc.sfaa.gov.tw/show_doc_area_download.php?area=document&amp;id=81&amp;serno=17" TargetMode="External"/><Relationship Id="rId18" Type="http://schemas.openxmlformats.org/officeDocument/2006/relationships/hyperlink" Target="http://crc.sfaa.gov.tw/show_doc_area_download.php?area=document&amp;id=81&amp;serno=13" TargetMode="External"/><Relationship Id="rId26" Type="http://schemas.openxmlformats.org/officeDocument/2006/relationships/hyperlink" Target="http://www.coe.int/en/web/commissioner/-/lgbti-children-have-the-right-to-safety-and-equal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vernote.com/shard/s284/sh/094c9146-28ae-465c-80a2-ca2b5b63a0d4/8864b37c6391ce86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Awu@youthrights.org.tw" TargetMode="External"/><Relationship Id="rId17" Type="http://schemas.openxmlformats.org/officeDocument/2006/relationships/hyperlink" Target="http://crc.sfaa.gov.tw/show_doc_area_download.php?area=document&amp;id=81&amp;serno=8" TargetMode="External"/><Relationship Id="rId25" Type="http://schemas.openxmlformats.org/officeDocument/2006/relationships/hyperlink" Target="http://crc.sfaa.gov.tw/show_doc_area_download.php?area=document&amp;id=81&amp;serno=15" TargetMode="External"/><Relationship Id="rId2" Type="http://schemas.openxmlformats.org/officeDocument/2006/relationships/styles" Target="styles.xml"/><Relationship Id="rId16" Type="http://schemas.openxmlformats.org/officeDocument/2006/relationships/hyperlink" Target="http://crc.sfaa.gov.tw/show_doc_area_download.php?area=document&amp;id=81&amp;serno=12" TargetMode="External"/><Relationship Id="rId20" Type="http://schemas.openxmlformats.org/officeDocument/2006/relationships/hyperlink" Target="http://edu.law.moe.gov.tw/LawContentDetails.aspx?id=GL001536&amp;KeyWordHL=" TargetMode="External"/><Relationship Id="rId29" Type="http://schemas.openxmlformats.org/officeDocument/2006/relationships/hyperlink" Target="https://goo.gl/aEJR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9LKtYj" TargetMode="External"/><Relationship Id="rId24" Type="http://schemas.openxmlformats.org/officeDocument/2006/relationships/hyperlink" Target="http://crc.sfaa.gov.tw/show_doc_area_download.php?area=document&amp;id=81&amp;serno=4" TargetMode="Externa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www.edu.tw/News_Content.aspx?n=9E7AC85F1954DDA8&amp;s=781E50A3E8CD1756" TargetMode="External"/><Relationship Id="rId23" Type="http://schemas.openxmlformats.org/officeDocument/2006/relationships/hyperlink" Target="http://www.ey.gov.tw/News_Content2.aspx?n=F8BAEBE9491FC830&amp;s=242EF7CC820F68EC" TargetMode="External"/><Relationship Id="rId28" Type="http://schemas.openxmlformats.org/officeDocument/2006/relationships/hyperlink" Target="http://crc.sfaa.gov.tw/show_doc_area_download.php?area=document&amp;id=81&amp;serno=16" TargetMode="External"/><Relationship Id="rId10" Type="http://schemas.openxmlformats.org/officeDocument/2006/relationships/hyperlink" Target="https://goo.gl/WP8n49" TargetMode="External"/><Relationship Id="rId19" Type="http://schemas.openxmlformats.org/officeDocument/2006/relationships/hyperlink" Target="http://crc.sfaa.gov.tw/show_doc_area_download.php?area=document&amp;id=81&amp;serno=1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eta.hackfoldr.org/Youth18CRC/https%253A%252F%252Fhackmd.io%252Fs%252FrJbju83Bb" TargetMode="External"/><Relationship Id="rId14" Type="http://schemas.openxmlformats.org/officeDocument/2006/relationships/hyperlink" Target="https://www.google.com.tw/url?sa=t&amp;rct=j&amp;q=&amp;esrc=s&amp;source=web&amp;cd=1&amp;cad=rja&amp;uact=8&amp;ved=0ahUKEwiL3e_KrbDVAhXFvrwKHQuXAZkQFggkMAA&amp;url=http%3A%2F%2Fwww.k12ea.gov.tw%2Ffiles%2Fcommon_unit%2F6673c808-791b-4749-b72e-57da24ef3b48%2Fdoc%2F4036_%25E6%2595%252" TargetMode="External"/><Relationship Id="rId22" Type="http://schemas.openxmlformats.org/officeDocument/2006/relationships/hyperlink" Target="http://crc.sfaa.gov.tw/show_doc_area_download.php?area=document&amp;id=81&amp;serno=17" TargetMode="External"/><Relationship Id="rId27" Type="http://schemas.openxmlformats.org/officeDocument/2006/relationships/hyperlink" Target="https://goo.gl/u3tlH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Chinwei</dc:creator>
  <cp:lastModifiedBy>USER</cp:lastModifiedBy>
  <cp:revision>2</cp:revision>
  <dcterms:created xsi:type="dcterms:W3CDTF">2017-08-24T01:39:00Z</dcterms:created>
  <dcterms:modified xsi:type="dcterms:W3CDTF">2017-08-24T01:39:00Z</dcterms:modified>
</cp:coreProperties>
</file>